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79" w:rsidRDefault="00FD1979" w:rsidP="00FD19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7D466F4A" wp14:editId="1228672B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79" w:rsidRDefault="00FD1979" w:rsidP="00FD1979">
      <w:pPr>
        <w:tabs>
          <w:tab w:val="left" w:pos="1005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F7504A" w:rsidRPr="00905BA1" w:rsidRDefault="00FD1979" w:rsidP="00FD1979">
      <w:pPr>
        <w:tabs>
          <w:tab w:val="left" w:pos="261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F7504A"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FD1979" w:rsidP="00FD1979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ТАЛОВСКОГО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FD1979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D1979" w:rsidP="00FD1979">
      <w:pPr>
        <w:tabs>
          <w:tab w:val="left" w:pos="264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F7504A"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D1979" w:rsidP="00FD1979">
      <w:pPr>
        <w:tabs>
          <w:tab w:val="left" w:pos="261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F7504A"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</w:t>
      </w:r>
      <w:r w:rsidR="00FD1979">
        <w:rPr>
          <w:rFonts w:cs="Arial"/>
          <w:color w:val="000000" w:themeColor="text1"/>
        </w:rPr>
        <w:t>28</w:t>
      </w:r>
      <w:r w:rsidRPr="00905BA1">
        <w:rPr>
          <w:rFonts w:cs="Arial"/>
          <w:color w:val="000000" w:themeColor="text1"/>
        </w:rPr>
        <w:t xml:space="preserve">» </w:t>
      </w:r>
      <w:r w:rsidR="00FD1979">
        <w:rPr>
          <w:rFonts w:cs="Arial"/>
          <w:color w:val="000000" w:themeColor="text1"/>
        </w:rPr>
        <w:t>декабря</w:t>
      </w:r>
      <w:r w:rsidRPr="00905BA1">
        <w:rPr>
          <w:rFonts w:cs="Arial"/>
          <w:color w:val="000000" w:themeColor="text1"/>
        </w:rPr>
        <w:t xml:space="preserve"> 2023 г.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№ </w:t>
      </w:r>
      <w:r w:rsidR="00FD1979">
        <w:rPr>
          <w:rFonts w:cs="Arial"/>
          <w:color w:val="000000" w:themeColor="text1"/>
        </w:rPr>
        <w:t>63</w:t>
      </w:r>
    </w:p>
    <w:p w:rsidR="00F7504A" w:rsidRPr="00905BA1" w:rsidRDefault="00FD1979" w:rsidP="00905BA1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Таловское</w:t>
      </w:r>
      <w:proofErr w:type="spellEnd"/>
      <w:r w:rsidR="00972431" w:rsidRPr="00905BA1">
        <w:rPr>
          <w:rFonts w:cs="Arial"/>
          <w:color w:val="000000" w:themeColor="text1"/>
        </w:rPr>
        <w:t xml:space="preserve"> 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905BA1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7619CC">
        <w:rPr>
          <w:b w:val="0"/>
          <w:color w:val="000000" w:themeColor="text1"/>
          <w:sz w:val="24"/>
          <w:szCs w:val="24"/>
        </w:rPr>
        <w:t>Таловского</w:t>
      </w:r>
      <w:r w:rsidRPr="00905BA1">
        <w:rPr>
          <w:b w:val="0"/>
          <w:color w:val="000000" w:themeColor="text1"/>
          <w:sz w:val="24"/>
          <w:szCs w:val="24"/>
        </w:rPr>
        <w:t xml:space="preserve">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619C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7619C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C87412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78266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56A5" w:rsidRPr="00905BA1" w:rsidRDefault="00C87412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356A5" w:rsidRPr="00905BA1" w:rsidRDefault="00C87412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B356A5" w:rsidRPr="00905BA1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B77E8C" w:rsidP="003F0D8E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C87412">
              <w:rPr>
                <w:rFonts w:eastAsia="Calibri" w:cs="Arial"/>
                <w:color w:val="000000" w:themeColor="text1"/>
                <w:lang w:eastAsia="en-US"/>
              </w:rPr>
              <w:t xml:space="preserve">Таловского 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C87412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А.А.Ковалёв</w:t>
            </w:r>
            <w:proofErr w:type="spellEnd"/>
          </w:p>
        </w:tc>
      </w:tr>
    </w:tbl>
    <w:p w:rsidR="00B77E8C" w:rsidRPr="00905BA1" w:rsidRDefault="00B77E8C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355863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r w:rsidR="00355863">
        <w:rPr>
          <w:rFonts w:cs="Arial"/>
          <w:color w:val="000000" w:themeColor="text1"/>
        </w:rPr>
        <w:t>Таловского</w:t>
      </w:r>
      <w:r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05BA1">
        <w:rPr>
          <w:rFonts w:cs="Arial"/>
          <w:color w:val="000000" w:themeColor="text1"/>
        </w:rPr>
        <w:t>от</w:t>
      </w:r>
    </w:p>
    <w:p w:rsidR="00F7504A" w:rsidRPr="00905BA1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</w:t>
      </w:r>
      <w:r w:rsidR="00355863">
        <w:rPr>
          <w:rFonts w:cs="Arial"/>
          <w:color w:val="000000" w:themeColor="text1"/>
        </w:rPr>
        <w:t>28</w:t>
      </w:r>
      <w:r w:rsidRPr="00905BA1">
        <w:rPr>
          <w:rFonts w:cs="Arial"/>
          <w:color w:val="000000" w:themeColor="text1"/>
        </w:rPr>
        <w:t>»</w:t>
      </w:r>
      <w:r w:rsidR="00355863">
        <w:rPr>
          <w:rFonts w:cs="Arial"/>
          <w:color w:val="000000" w:themeColor="text1"/>
        </w:rPr>
        <w:t xml:space="preserve"> декабря 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Pr="00905BA1">
        <w:rPr>
          <w:rFonts w:cs="Arial"/>
          <w:color w:val="000000" w:themeColor="text1"/>
        </w:rPr>
        <w:t xml:space="preserve"> № </w:t>
      </w:r>
      <w:r w:rsidR="00355863">
        <w:rPr>
          <w:rFonts w:cs="Arial"/>
          <w:color w:val="000000" w:themeColor="text1"/>
        </w:rPr>
        <w:t>63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r w:rsidR="00355863">
        <w:rPr>
          <w:rFonts w:ascii="Arial" w:hAnsi="Arial" w:cs="Arial"/>
          <w:i w:val="0"/>
          <w:color w:val="000000" w:themeColor="text1"/>
          <w:sz w:val="24"/>
          <w:szCs w:val="24"/>
        </w:rPr>
        <w:t>Таловского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r w:rsidR="00355863">
        <w:rPr>
          <w:rFonts w:cs="Arial"/>
          <w:color w:val="000000" w:themeColor="text1"/>
        </w:rPr>
        <w:t>Таловского</w:t>
      </w:r>
      <w:r w:rsidR="006972B1" w:rsidRPr="00905BA1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F7504A" w:rsidRPr="00905BA1">
        <w:rPr>
          <w:rFonts w:cs="Arial"/>
          <w:color w:val="000000" w:themeColor="text1"/>
        </w:rPr>
        <w:t>(</w:t>
      </w:r>
      <w:r w:rsidR="00355863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="00F7504A" w:rsidRPr="00905BA1">
        <w:rPr>
          <w:rFonts w:cs="Arial"/>
          <w:color w:val="000000" w:themeColor="text1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gosuslugi</w:t>
      </w:r>
      <w:proofErr w:type="spellEnd"/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ru</w:t>
      </w:r>
      <w:proofErr w:type="spellEnd"/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r w:rsidR="00355863">
        <w:rPr>
          <w:rFonts w:cs="Arial"/>
          <w:color w:val="000000" w:themeColor="text1"/>
        </w:rPr>
        <w:t>Таловского</w:t>
      </w:r>
      <w:r w:rsidR="005F036F" w:rsidRPr="00905BA1">
        <w:rPr>
          <w:rFonts w:cs="Arial"/>
          <w:color w:val="000000" w:themeColor="text1"/>
        </w:rPr>
        <w:t xml:space="preserve"> 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55863">
        <w:rPr>
          <w:rFonts w:cs="Arial"/>
          <w:color w:val="000000" w:themeColor="text1"/>
        </w:rPr>
        <w:t>Таловского</w:t>
      </w:r>
      <w:r w:rsidRPr="00905BA1">
        <w:rPr>
          <w:rFonts w:cs="Arial"/>
          <w:color w:val="000000" w:themeColor="text1"/>
        </w:rPr>
        <w:t xml:space="preserve">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>взаимодействует с: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35586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05BA1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355863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905BA1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ектронной подписи в формате </w:t>
      </w:r>
      <w:proofErr w:type="spellStart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</w:t>
      </w:r>
      <w:r w:rsidRPr="00905BA1">
        <w:rPr>
          <w:rFonts w:eastAsiaTheme="minorHAnsi" w:cs="Arial"/>
          <w:color w:val="000000" w:themeColor="text1"/>
        </w:rPr>
        <w:lastRenderedPageBreak/>
        <w:t>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в первый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lastRenderedPageBreak/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</w:t>
      </w:r>
      <w:r w:rsidR="003A0036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05BA1">
        <w:rPr>
          <w:rFonts w:cs="Arial"/>
          <w:color w:val="000000" w:themeColor="text1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lastRenderedPageBreak/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docx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odt</w:t>
      </w:r>
      <w:proofErr w:type="spellEnd"/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lang w:val="en-US"/>
        </w:rPr>
        <w:t>pdf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png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rar</w:t>
      </w:r>
      <w:proofErr w:type="spellEnd"/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905BA1">
        <w:rPr>
          <w:rFonts w:cs="Arial"/>
          <w:color w:val="000000" w:themeColor="text1"/>
          <w:lang w:val="en-US"/>
        </w:rPr>
        <w:t>xls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proofErr w:type="spellStart"/>
      <w:r w:rsidRPr="00905BA1">
        <w:rPr>
          <w:rFonts w:cs="Arial"/>
          <w:color w:val="000000" w:themeColor="text1"/>
          <w:lang w:val="en-US"/>
        </w:rPr>
        <w:t>ods</w:t>
      </w:r>
      <w:proofErr w:type="spellEnd"/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Pr="00905BA1">
        <w:rPr>
          <w:rFonts w:cs="Arial"/>
          <w:color w:val="000000" w:themeColor="text1"/>
        </w:rPr>
        <w:lastRenderedPageBreak/>
        <w:t>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18.17. 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 предоставления Муниципальной услуги указан в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 xml:space="preserve">обращение Заявителя или его уполномоченного представителя с </w:t>
      </w:r>
      <w:r w:rsidRPr="00905BA1">
        <w:rPr>
          <w:rFonts w:cs="Arial"/>
          <w:color w:val="000000" w:themeColor="text1"/>
        </w:rPr>
        <w:lastRenderedPageBreak/>
        <w:t>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</w:t>
      </w:r>
      <w:proofErr w:type="gramStart"/>
      <w:r w:rsidRPr="00905BA1">
        <w:rPr>
          <w:rFonts w:cs="Arial"/>
          <w:color w:val="000000" w:themeColor="text1"/>
        </w:rPr>
        <w:t>направленный межведомственный запрос</w:t>
      </w:r>
      <w:proofErr w:type="gramEnd"/>
      <w:r w:rsidRPr="00905BA1">
        <w:rPr>
          <w:rFonts w:cs="Arial"/>
          <w:color w:val="000000" w:themeColor="text1"/>
        </w:rPr>
        <w:t xml:space="preserve">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3A0036">
        <w:rPr>
          <w:rFonts w:cs="Arial"/>
          <w:color w:val="000000" w:themeColor="text1"/>
        </w:rPr>
        <w:t>Таловского</w:t>
      </w:r>
      <w:r w:rsidR="00BC59C8" w:rsidRPr="00905BA1">
        <w:rPr>
          <w:rFonts w:cs="Arial"/>
          <w:color w:val="000000" w:themeColor="text1"/>
        </w:rPr>
        <w:t xml:space="preserve">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>. 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с даты регистрации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 xml:space="preserve">о выдаче </w:t>
      </w:r>
      <w:proofErr w:type="gramStart"/>
      <w:r w:rsidR="00D807B3" w:rsidRPr="00905BA1">
        <w:rPr>
          <w:rFonts w:cs="Arial"/>
          <w:color w:val="000000" w:themeColor="text1"/>
        </w:rPr>
        <w:t>дубликата Решения</w:t>
      </w:r>
      <w:proofErr w:type="gramEnd"/>
      <w:r w:rsidRPr="00905BA1">
        <w:rPr>
          <w:rFonts w:cs="Arial"/>
          <w:color w:val="000000" w:themeColor="text1"/>
        </w:rPr>
        <w:t xml:space="preserve"> готовит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3A003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3A003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(бездействие) должностных лиц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D243F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031E7" w:rsidRPr="00905BA1">
        <w:rPr>
          <w:rFonts w:cs="Arial"/>
          <w:color w:val="000000" w:themeColor="text1"/>
        </w:rPr>
        <w:t xml:space="preserve"> </w:t>
      </w:r>
      <w:r w:rsidR="003A0036">
        <w:rPr>
          <w:rFonts w:cs="Arial"/>
          <w:color w:val="000000" w:themeColor="text1"/>
        </w:rPr>
        <w:t>Таловского</w:t>
      </w:r>
      <w:r w:rsidR="00E031E7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4" w:name="p43"/>
      <w:bookmarkEnd w:id="4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</w:t>
      </w:r>
      <w:r w:rsidRPr="00905BA1">
        <w:rPr>
          <w:rFonts w:cs="Arial"/>
          <w:color w:val="000000" w:themeColor="text1"/>
        </w:rPr>
        <w:lastRenderedPageBreak/>
        <w:t xml:space="preserve"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42. В случае</w:t>
      </w:r>
      <w:r w:rsidR="003A0036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признания</w:t>
      </w:r>
      <w:r w:rsidR="003A0036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жалобы</w:t>
      </w:r>
      <w:proofErr w:type="gramEnd"/>
      <w:r w:rsidR="003A0036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_GoBack"/>
      <w:bookmarkEnd w:id="5"/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 предоставлением Муниципальной услуги обратился </w:t>
            </w: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(для физических лиц/индивидуальных предпринимателей: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юридических лиц: полное наименование юридического лица, ОГРН, ИНН расположенного по</w:t>
      </w:r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адресу:_</w:t>
      </w:r>
      <w:proofErr w:type="gramEnd"/>
      <w:r w:rsidRPr="00905BA1">
        <w:rPr>
          <w:rFonts w:cs="Arial"/>
          <w:color w:val="000000" w:themeColor="text1"/>
        </w:rPr>
        <w:t>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(нужное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–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(почтовый индекс и адрес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О переводе)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(вид использования помещения в соответствии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 (_________________________________________________________):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(перечень работ по переустройству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(нежилого) в нежилое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(основание(я),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Жилищного кодекса Российской Федерации)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подписавшего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355863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</w:t>
      </w:r>
      <w:proofErr w:type="gramStart"/>
      <w:r w:rsidRPr="00905BA1">
        <w:rPr>
          <w:rFonts w:cs="Arial"/>
          <w:color w:val="000000" w:themeColor="text1"/>
          <w:lang w:bidi="ru-RU"/>
        </w:rPr>
        <w:t>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proofErr w:type="gramEnd"/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FD1979">
      <w:headerReference w:type="defaul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671" w:rsidRDefault="00383671" w:rsidP="009476CE">
      <w:r>
        <w:separator/>
      </w:r>
    </w:p>
  </w:endnote>
  <w:endnote w:type="continuationSeparator" w:id="0">
    <w:p w:rsidR="00383671" w:rsidRDefault="0038367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671" w:rsidRDefault="00383671" w:rsidP="009476CE">
      <w:r>
        <w:separator/>
      </w:r>
    </w:p>
  </w:footnote>
  <w:footnote w:type="continuationSeparator" w:id="0">
    <w:p w:rsidR="00383671" w:rsidRDefault="0038367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863" w:rsidRDefault="00355863">
    <w:pPr>
      <w:pStyle w:val="a8"/>
      <w:jc w:val="center"/>
    </w:pPr>
  </w:p>
  <w:p w:rsidR="00355863" w:rsidRDefault="003558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55863"/>
    <w:rsid w:val="00372FD9"/>
    <w:rsid w:val="0037495C"/>
    <w:rsid w:val="00383671"/>
    <w:rsid w:val="00384B47"/>
    <w:rsid w:val="003858BF"/>
    <w:rsid w:val="003866FF"/>
    <w:rsid w:val="0039272A"/>
    <w:rsid w:val="00393133"/>
    <w:rsid w:val="00393E5F"/>
    <w:rsid w:val="003A0036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0D1C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19CC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58D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647"/>
    <w:rsid w:val="00A97DBD"/>
    <w:rsid w:val="00AC4B93"/>
    <w:rsid w:val="00AC4E2D"/>
    <w:rsid w:val="00AC7F56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87412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D1979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DF09"/>
  <w15:docId w15:val="{5B4D62D4-DA0B-4B3C-B4E6-E5AAB8D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F6B9-F836-4E0B-A834-AE0B96E6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37</Pages>
  <Words>14924</Words>
  <Characters>85067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Администратор</cp:lastModifiedBy>
  <cp:revision>73</cp:revision>
  <cp:lastPrinted>2023-05-12T09:54:00Z</cp:lastPrinted>
  <dcterms:created xsi:type="dcterms:W3CDTF">2023-05-11T09:34:00Z</dcterms:created>
  <dcterms:modified xsi:type="dcterms:W3CDTF">2024-01-09T12:22:00Z</dcterms:modified>
</cp:coreProperties>
</file>